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F900CE" w:rsidRPr="00F900CE">
        <w:rPr>
          <w:rFonts w:ascii="Helvetica" w:hAnsi="Helvetica" w:cs="Helvetica"/>
        </w:rPr>
        <w:t xml:space="preserve">Osnovne škole </w:t>
      </w:r>
      <w:proofErr w:type="spellStart"/>
      <w:r w:rsidR="00F900CE" w:rsidRPr="00F900CE">
        <w:rPr>
          <w:rFonts w:ascii="Helvetica" w:hAnsi="Helvetica" w:cs="Helvetica"/>
        </w:rPr>
        <w:t>Kustošija</w:t>
      </w:r>
      <w:proofErr w:type="spellEnd"/>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F900CE" w:rsidRPr="00F900CE">
        <w:rPr>
          <w:rFonts w:ascii="Helvetica" w:hAnsi="Helvetica" w:cs="Helvetica"/>
        </w:rPr>
        <w:t>15. ožujka</w:t>
      </w:r>
      <w:r w:rsidR="00F900CE">
        <w:rPr>
          <w:rFonts w:ascii="Helvetica" w:hAnsi="Helvetica" w:cs="Helvetica"/>
        </w:rPr>
        <w:t xml:space="preserve"> 2019</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F900CE" w:rsidRPr="00F900CE">
        <w:rPr>
          <w:rFonts w:ascii="Helvetica" w:hAnsi="Helvetica" w:cs="Helvetica"/>
        </w:rPr>
        <w:t xml:space="preserve">Osnovna škola </w:t>
      </w:r>
      <w:proofErr w:type="spellStart"/>
      <w:r w:rsidR="00F900CE" w:rsidRPr="00F900CE">
        <w:rPr>
          <w:rFonts w:ascii="Helvetica" w:hAnsi="Helvetica" w:cs="Helvetica"/>
        </w:rPr>
        <w:t>Kustošija</w:t>
      </w:r>
      <w:proofErr w:type="spellEnd"/>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w:t>
      </w:r>
      <w:r w:rsidR="00F900CE">
        <w:rPr>
          <w:rFonts w:ascii="Helvetica" w:hAnsi="Helvetica" w:cs="Helvetica"/>
          <w:color w:val="auto"/>
        </w:rPr>
        <w:t>a osobnih podataka bilo automati</w:t>
      </w:r>
      <w:r w:rsidR="00832C1B" w:rsidRPr="004C40DC">
        <w:rPr>
          <w:rFonts w:ascii="Helvetica" w:hAnsi="Helvetica" w:cs="Helvetica"/>
          <w:color w:val="auto"/>
        </w:rPr>
        <w:t>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8D1B5D" w:rsidRPr="009D5BD5" w:rsidRDefault="008D1B5D" w:rsidP="009D5BD5">
      <w:pPr>
        <w:spacing w:before="0" w:after="0"/>
        <w:ind w:left="0" w:firstLine="0"/>
        <w:rPr>
          <w:rFonts w:ascii="Helvetica" w:hAnsi="Helvetica" w:cs="Helvetica"/>
          <w:b/>
          <w:u w:val="single"/>
        </w:rPr>
      </w:pPr>
      <w:bookmarkStart w:id="0" w:name="_GoBack"/>
      <w:bookmarkEnd w:id="0"/>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lastRenderedPageBreak/>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w:t>
      </w:r>
      <w:proofErr w:type="spellStart"/>
      <w:r w:rsidRPr="004C40DC">
        <w:rPr>
          <w:rFonts w:ascii="Helvetica" w:hAnsi="Helvetica" w:cs="Helvetica"/>
        </w:rPr>
        <w:t>političkim,filozofskim</w:t>
      </w:r>
      <w:proofErr w:type="spellEnd"/>
      <w:r w:rsidRPr="004C40DC">
        <w:rPr>
          <w:rFonts w:ascii="Helvetica" w:hAnsi="Helvetica" w:cs="Helvetica"/>
        </w:rPr>
        <w:t xml:space="preserve">,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w:t>
      </w:r>
      <w:r w:rsidRPr="004C40DC">
        <w:rPr>
          <w:rFonts w:ascii="Helvetica" w:hAnsi="Helvetica" w:cs="Helvetica"/>
        </w:rPr>
        <w:lastRenderedPageBreak/>
        <w:t xml:space="preserve">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lastRenderedPageBreak/>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w:t>
      </w:r>
      <w:r w:rsidRPr="004C40DC">
        <w:rPr>
          <w:rFonts w:ascii="Helvetica" w:hAnsi="Helvetica" w:cs="Helvetica"/>
        </w:rPr>
        <w:lastRenderedPageBreak/>
        <w:t xml:space="preserve">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lastRenderedPageBreak/>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objavljen na oglasnoj ploči dana</w:t>
      </w:r>
      <w:r w:rsidR="00A3128C">
        <w:rPr>
          <w:rFonts w:ascii="Helvetica" w:hAnsi="Helvetica" w:cs="Helvetica"/>
        </w:rPr>
        <w:t>________________________</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Default="008474DD" w:rsidP="009D5BD5">
      <w:pPr>
        <w:pStyle w:val="Default"/>
        <w:rPr>
          <w:rFonts w:ascii="Helvetica" w:hAnsi="Helvetica" w:cs="Helvetica"/>
          <w:color w:val="auto"/>
        </w:rPr>
      </w:pPr>
    </w:p>
    <w:p w:rsidR="008C0BA1" w:rsidRPr="004C40DC" w:rsidRDefault="008C0BA1"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8C0BA1" w:rsidRPr="008C0BA1">
        <w:rPr>
          <w:rFonts w:ascii="Helvetica" w:hAnsi="Helvetica" w:cs="Helvetica"/>
        </w:rPr>
        <w:t>602-02/19-09/02</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8C0BA1">
        <w:rPr>
          <w:rFonts w:ascii="Helvetica" w:hAnsi="Helvetica" w:cs="Helvetica"/>
        </w:rPr>
        <w:t>251-128-19-1</w:t>
      </w:r>
    </w:p>
    <w:p w:rsidR="008474DD" w:rsidRDefault="008474DD" w:rsidP="009D5BD5">
      <w:pPr>
        <w:spacing w:before="0" w:after="0"/>
        <w:rPr>
          <w:rFonts w:ascii="Helvetica" w:hAnsi="Helvetica" w:cs="Helvetica"/>
        </w:rPr>
      </w:pPr>
    </w:p>
    <w:p w:rsidR="008C0BA1" w:rsidRDefault="008C0BA1" w:rsidP="009D5BD5">
      <w:pPr>
        <w:spacing w:before="0" w:after="0"/>
        <w:rPr>
          <w:rFonts w:ascii="Helvetica" w:hAnsi="Helvetica" w:cs="Helvetica"/>
        </w:rPr>
      </w:pPr>
    </w:p>
    <w:p w:rsidR="008C0BA1" w:rsidRDefault="008C0BA1" w:rsidP="009D5BD5">
      <w:pPr>
        <w:spacing w:before="0" w:after="0"/>
        <w:rPr>
          <w:rFonts w:ascii="Helvetica" w:hAnsi="Helvetica" w:cs="Helvetica"/>
        </w:rPr>
      </w:pPr>
    </w:p>
    <w:p w:rsidR="008C0BA1" w:rsidRDefault="008C0BA1" w:rsidP="009D5BD5">
      <w:pPr>
        <w:spacing w:before="0" w:after="0"/>
        <w:rPr>
          <w:rFonts w:ascii="Helvetica" w:hAnsi="Helvetica" w:cs="Helvetica"/>
        </w:rPr>
      </w:pPr>
    </w:p>
    <w:p w:rsidR="008C0BA1" w:rsidRPr="004C40DC" w:rsidRDefault="008C0BA1" w:rsidP="009D5BD5">
      <w:pPr>
        <w:spacing w:before="0" w:after="0"/>
        <w:rPr>
          <w:rFonts w:ascii="Helvetica" w:hAnsi="Helvetica" w:cs="Helvetica"/>
        </w:rPr>
      </w:pPr>
    </w:p>
    <w:p w:rsidR="008474DD" w:rsidRDefault="008C0BA1" w:rsidP="009D5BD5">
      <w:pPr>
        <w:spacing w:before="0" w:after="0"/>
        <w:ind w:left="0" w:firstLine="0"/>
        <w:rPr>
          <w:rFonts w:ascii="Helvetica" w:hAnsi="Helvetica" w:cs="Helvetica"/>
        </w:rPr>
      </w:pPr>
      <w:r>
        <w:rPr>
          <w:rFonts w:ascii="Helvetica" w:hAnsi="Helvetica" w:cs="Helvetica"/>
        </w:rPr>
        <w:t>U Zagrebu,15.03.2019.</w:t>
      </w:r>
    </w:p>
    <w:p w:rsidR="008C0BA1" w:rsidRDefault="008C0BA1" w:rsidP="009D5BD5">
      <w:pPr>
        <w:spacing w:before="0" w:after="0"/>
        <w:ind w:left="0" w:firstLine="0"/>
        <w:rPr>
          <w:rFonts w:ascii="Helvetica" w:hAnsi="Helvetica" w:cs="Helvetica"/>
        </w:rPr>
      </w:pPr>
    </w:p>
    <w:p w:rsidR="008C0BA1" w:rsidRDefault="008C0BA1" w:rsidP="009D5BD5">
      <w:pPr>
        <w:spacing w:before="0" w:after="0"/>
        <w:ind w:left="0" w:firstLine="0"/>
        <w:rPr>
          <w:rFonts w:ascii="Helvetica" w:hAnsi="Helvetica" w:cs="Helvetica"/>
        </w:rPr>
      </w:pPr>
    </w:p>
    <w:p w:rsidR="008C0BA1" w:rsidRPr="004C40DC" w:rsidRDefault="008C0BA1" w:rsidP="009D5BD5">
      <w:pPr>
        <w:spacing w:before="0" w:after="0"/>
        <w:ind w:left="0" w:firstLine="0"/>
        <w:rPr>
          <w:rFonts w:ascii="Helvetica" w:hAnsi="Helvetica" w:cs="Helvetica"/>
        </w:rPr>
      </w:pP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PREDSJEDNIK</w:t>
      </w:r>
    </w:p>
    <w:p w:rsidR="008474DD" w:rsidRPr="004C40DC" w:rsidRDefault="008474DD" w:rsidP="009D5BD5">
      <w:pPr>
        <w:spacing w:before="0" w:after="0"/>
        <w:ind w:left="5664"/>
        <w:rPr>
          <w:rFonts w:ascii="Helvetica" w:hAnsi="Helvetica" w:cs="Helvetica"/>
        </w:rPr>
      </w:pPr>
      <w:r w:rsidRPr="004C40DC">
        <w:rPr>
          <w:rFonts w:ascii="Helvetica" w:hAnsi="Helvetica" w:cs="Helvetica"/>
        </w:rPr>
        <w:t>ŠKOLSKOG ODBORA:</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RAVNATELJICA:</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EB" w:rsidRDefault="00E400EB" w:rsidP="00E80ADD">
      <w:pPr>
        <w:spacing w:before="0" w:after="0"/>
      </w:pPr>
      <w:r>
        <w:separator/>
      </w:r>
    </w:p>
  </w:endnote>
  <w:endnote w:type="continuationSeparator" w:id="0">
    <w:p w:rsidR="00E400EB" w:rsidRDefault="00E400E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1056BA">
        <w:pPr>
          <w:pStyle w:val="Podnoje"/>
          <w:jc w:val="center"/>
        </w:pPr>
        <w:r>
          <w:fldChar w:fldCharType="begin"/>
        </w:r>
        <w:r w:rsidR="009D5BD5">
          <w:instrText xml:space="preserve"> PAGE   \* MERGEFORMAT </w:instrText>
        </w:r>
        <w:r>
          <w:fldChar w:fldCharType="separate"/>
        </w:r>
        <w:r w:rsidR="008D1B5D">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EB" w:rsidRDefault="00E400EB" w:rsidP="00E80ADD">
      <w:pPr>
        <w:spacing w:before="0" w:after="0"/>
      </w:pPr>
      <w:r>
        <w:separator/>
      </w:r>
    </w:p>
  </w:footnote>
  <w:footnote w:type="continuationSeparator" w:id="0">
    <w:p w:rsidR="00E400EB" w:rsidRDefault="00E400EB"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056BA"/>
    <w:rsid w:val="00113C1E"/>
    <w:rsid w:val="0011598D"/>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25CF"/>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0A0E"/>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C0BA1"/>
    <w:rsid w:val="008D1B5D"/>
    <w:rsid w:val="008E069E"/>
    <w:rsid w:val="008E7F14"/>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128C"/>
    <w:rsid w:val="00A35C29"/>
    <w:rsid w:val="00A41522"/>
    <w:rsid w:val="00A63C36"/>
    <w:rsid w:val="00A744B2"/>
    <w:rsid w:val="00A819FD"/>
    <w:rsid w:val="00A8774F"/>
    <w:rsid w:val="00A9125D"/>
    <w:rsid w:val="00A91CE4"/>
    <w:rsid w:val="00A9735F"/>
    <w:rsid w:val="00AB06CF"/>
    <w:rsid w:val="00AB0A8B"/>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400EB"/>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24510"/>
    <w:rsid w:val="00F323C3"/>
    <w:rsid w:val="00F35E1E"/>
    <w:rsid w:val="00F45CF9"/>
    <w:rsid w:val="00F73C0F"/>
    <w:rsid w:val="00F85AD8"/>
    <w:rsid w:val="00F900CE"/>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7A49A-CED2-4A61-8727-7E1D159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E035-061A-4121-AE75-BD4F60E9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5599</Words>
  <Characters>31916</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Luka</cp:lastModifiedBy>
  <cp:revision>6</cp:revision>
  <dcterms:created xsi:type="dcterms:W3CDTF">2018-07-20T06:34:00Z</dcterms:created>
  <dcterms:modified xsi:type="dcterms:W3CDTF">2019-03-15T13:09:00Z</dcterms:modified>
</cp:coreProperties>
</file>